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CC4C7">
      <w:pPr>
        <w:rPr>
          <w:rFonts w:hint="eastAsia" w:ascii="黑体" w:hAnsi="黑体" w:eastAsia="黑体"/>
          <w:sz w:val="32"/>
          <w:szCs w:val="32"/>
        </w:rPr>
      </w:pPr>
    </w:p>
    <w:p w14:paraId="4825BD71">
      <w:pPr>
        <w:jc w:val="center"/>
        <w:rPr>
          <w:rFonts w:hint="eastAsia" w:ascii="方正小标宋_GBK" w:hAnsi="宋体" w:eastAsia="方正小标宋_GBK"/>
          <w:sz w:val="44"/>
          <w:szCs w:val="44"/>
        </w:rPr>
      </w:pPr>
    </w:p>
    <w:p w14:paraId="6AE165E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木垒哈萨克自治县第一小学</w:t>
      </w:r>
    </w:p>
    <w:p w14:paraId="640F1E3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3061E8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CCE345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DBB3E9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35CA47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41DFD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D9453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E4C855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8A448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184E82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2CB92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6CDE8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4602E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8F297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AABA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9BBF9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B4D04F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4C545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F03BAF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283A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B5CC12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6A7F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B5FA1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048590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28BB05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3F7E0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767B1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015E6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3281B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4A2ABB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FA3990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23370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A68E98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5D2F36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8D05B5B">
      <w:r>
        <w:rPr>
          <w:rFonts w:hint="eastAsia" w:ascii="仿宋_GB2312" w:hAnsi="仿宋_GB2312" w:eastAsia="仿宋_GB2312" w:cs="仿宋_GB2312"/>
          <w:sz w:val="32"/>
          <w:szCs w:val="32"/>
        </w:rPr>
        <w:fldChar w:fldCharType="end"/>
      </w:r>
    </w:p>
    <w:p w14:paraId="4C4DA0F4">
      <w:pPr>
        <w:rPr>
          <w:rFonts w:ascii="仿宋_GB2312" w:eastAsia="仿宋_GB2312"/>
          <w:sz w:val="32"/>
          <w:szCs w:val="32"/>
        </w:rPr>
      </w:pPr>
      <w:r>
        <w:rPr>
          <w:rFonts w:hint="eastAsia" w:ascii="仿宋_GB2312" w:eastAsia="仿宋_GB2312"/>
          <w:sz w:val="32"/>
          <w:szCs w:val="32"/>
        </w:rPr>
        <w:br w:type="page"/>
      </w:r>
    </w:p>
    <w:p w14:paraId="592483E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8E46DB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E52B012">
      <w:pPr>
        <w:ind w:firstLine="640" w:firstLineChars="200"/>
        <w:rPr>
          <w:rFonts w:ascii="仿宋_GB2312" w:eastAsia="仿宋_GB2312"/>
          <w:sz w:val="32"/>
          <w:szCs w:val="32"/>
        </w:rPr>
      </w:pPr>
      <w:r>
        <w:rPr>
          <w:rFonts w:hint="eastAsia" w:ascii="仿宋_GB2312" w:eastAsia="仿宋_GB2312"/>
          <w:sz w:val="32"/>
          <w:szCs w:val="32"/>
        </w:rPr>
        <w:t>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w:t>
      </w:r>
      <w:r>
        <w:rPr>
          <w:rFonts w:hint="eastAsia" w:ascii="仿宋_GB2312" w:eastAsia="仿宋_GB2312"/>
          <w:sz w:val="32"/>
          <w:szCs w:val="32"/>
          <w:lang w:eastAsia="zh-CN"/>
        </w:rPr>
        <w:t>地</w:t>
      </w:r>
      <w:r>
        <w:rPr>
          <w:rFonts w:hint="eastAsia" w:ascii="仿宋_GB2312" w:eastAsia="仿宋_GB2312"/>
          <w:sz w:val="32"/>
          <w:szCs w:val="32"/>
        </w:rPr>
        <w:t>发展。</w:t>
      </w:r>
    </w:p>
    <w:p w14:paraId="6539762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876D1A4">
      <w:pPr>
        <w:ind w:firstLine="640" w:firstLineChars="200"/>
        <w:jc w:val="left"/>
        <w:rPr>
          <w:rFonts w:ascii="仿宋_GB2312" w:eastAsia="仿宋_GB2312"/>
          <w:sz w:val="32"/>
          <w:szCs w:val="32"/>
        </w:rPr>
      </w:pPr>
      <w:r>
        <w:rPr>
          <w:rFonts w:hint="eastAsia" w:ascii="仿宋_GB2312" w:eastAsia="仿宋_GB2312"/>
          <w:sz w:val="32"/>
          <w:szCs w:val="32"/>
        </w:rPr>
        <w:t>木垒哈萨克自治县第一小学2023年度，实有人数</w:t>
      </w:r>
      <w:r>
        <w:rPr>
          <w:rFonts w:hint="eastAsia" w:ascii="仿宋_GB2312" w:eastAsia="仿宋_GB2312"/>
          <w:sz w:val="32"/>
          <w:szCs w:val="32"/>
          <w:lang w:val="zh-CN"/>
        </w:rPr>
        <w:t>278</w:t>
      </w:r>
      <w:r>
        <w:rPr>
          <w:rFonts w:hint="eastAsia" w:ascii="仿宋_GB2312" w:eastAsia="仿宋_GB2312"/>
          <w:sz w:val="32"/>
          <w:szCs w:val="32"/>
        </w:rPr>
        <w:t>人，其中：在职人员</w:t>
      </w:r>
      <w:r>
        <w:rPr>
          <w:rFonts w:hint="eastAsia" w:ascii="仿宋_GB2312" w:eastAsia="仿宋_GB2312"/>
          <w:sz w:val="32"/>
          <w:szCs w:val="32"/>
          <w:lang w:val="zh-CN"/>
        </w:rPr>
        <w:t>101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177</w:t>
      </w:r>
      <w:r>
        <w:rPr>
          <w:rFonts w:hint="eastAsia" w:ascii="仿宋_GB2312" w:eastAsia="仿宋_GB2312"/>
          <w:sz w:val="32"/>
          <w:szCs w:val="32"/>
        </w:rPr>
        <w:t>人。</w:t>
      </w:r>
    </w:p>
    <w:p w14:paraId="31557D1C">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单位无下属预算单位，下设4个科室，分别是：教务处、总务处、财务室、德育处。</w:t>
      </w:r>
    </w:p>
    <w:p w14:paraId="37AD70AA">
      <w:pPr>
        <w:widowControl/>
        <w:jc w:val="left"/>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14:paraId="13C80D44">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7CB1A591">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629B0E6">
      <w:pPr>
        <w:ind w:firstLine="640" w:firstLineChars="200"/>
        <w:jc w:val="left"/>
        <w:rPr>
          <w:rFonts w:ascii="仿宋_GB2312" w:eastAsia="仿宋_GB2312"/>
          <w:sz w:val="32"/>
          <w:szCs w:val="32"/>
        </w:rPr>
      </w:pPr>
      <w:r>
        <w:rPr>
          <w:rFonts w:hint="eastAsia" w:ascii="仿宋_GB2312" w:eastAsia="仿宋_GB2312"/>
          <w:sz w:val="32"/>
          <w:szCs w:val="32"/>
        </w:rPr>
        <w:t>2023年度收入总计2,536.75万元，其中：本年收入合计2,536.15万元，使用非财政拨款结余0.00万元，年初结转和结余0.60万元。</w:t>
      </w:r>
    </w:p>
    <w:p w14:paraId="48743FE5">
      <w:pPr>
        <w:ind w:firstLine="640" w:firstLineChars="200"/>
        <w:jc w:val="left"/>
        <w:rPr>
          <w:rFonts w:ascii="仿宋_GB2312" w:eastAsia="仿宋_GB2312"/>
          <w:sz w:val="32"/>
          <w:szCs w:val="32"/>
        </w:rPr>
      </w:pPr>
      <w:r>
        <w:rPr>
          <w:rFonts w:hint="eastAsia" w:ascii="仿宋_GB2312" w:eastAsia="仿宋_GB2312"/>
          <w:sz w:val="32"/>
          <w:szCs w:val="32"/>
        </w:rPr>
        <w:t>2023年度支出总计2,536.75万元，其中：本年支出合计2,536.41万元，结余分配0.00万元，年末结转和结余0.35万元。</w:t>
      </w:r>
    </w:p>
    <w:p w14:paraId="2EC413F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增加147.51万元</w:t>
      </w:r>
      <w:r>
        <w:rPr>
          <w:rFonts w:hint="eastAsia" w:ascii="仿宋_GB2312" w:eastAsia="仿宋_GB2312"/>
          <w:sz w:val="32"/>
          <w:szCs w:val="32"/>
        </w:rPr>
        <w:t>，增长6.17%，主要原因是：</w:t>
      </w:r>
      <w:r>
        <w:rPr>
          <w:rFonts w:hint="eastAsia" w:ascii="仿宋_GB2312" w:eastAsia="仿宋_GB2312"/>
          <w:sz w:val="32"/>
          <w:szCs w:val="32"/>
          <w:lang w:val="zh-CN"/>
        </w:rPr>
        <w:t>本年单位新疆西藏等地区教育特殊补助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资金增加、农村学前三年免费教育保障机制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333E305D">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3D226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14:paraId="601C81C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40AB717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本年支出2,536.41万元，其中：基本支出2,352.40万元，占92.75%；项目支出184.01万元，占7.25%；上缴上级支出0.00万元，占0.00%；经营支出0.00万元，占0.00%；对附属单位补助支出0.00万元，占0.00%。</w:t>
      </w:r>
    </w:p>
    <w:p w14:paraId="0C2C57E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C349D1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2,535.38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2,535.38</w:t>
      </w:r>
      <w:r>
        <w:rPr>
          <w:rFonts w:hint="eastAsia" w:ascii="仿宋_GB2312" w:eastAsia="仿宋_GB2312"/>
          <w:sz w:val="32"/>
          <w:szCs w:val="32"/>
        </w:rPr>
        <w:t>万元。财政拨款支出总计</w:t>
      </w:r>
      <w:r>
        <w:rPr>
          <w:rFonts w:hint="eastAsia" w:ascii="仿宋_GB2312" w:eastAsia="仿宋_GB2312"/>
          <w:sz w:val="32"/>
          <w:szCs w:val="32"/>
          <w:lang w:val="zh-CN"/>
        </w:rPr>
        <w:t>2,535.38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2,535.38</w:t>
      </w:r>
      <w:r>
        <w:rPr>
          <w:rFonts w:hint="eastAsia" w:ascii="仿宋_GB2312" w:eastAsia="仿宋_GB2312"/>
          <w:sz w:val="32"/>
          <w:szCs w:val="32"/>
        </w:rPr>
        <w:t>万元。</w:t>
      </w:r>
    </w:p>
    <w:p w14:paraId="297C793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w:t>
      </w:r>
      <w:r>
        <w:rPr>
          <w:rFonts w:hint="eastAsia" w:ascii="仿宋_GB2312" w:eastAsia="仿宋_GB2312"/>
          <w:sz w:val="32"/>
          <w:szCs w:val="32"/>
          <w:lang w:val="zh-CN"/>
        </w:rPr>
        <w:t>本年单位新疆西藏等地区教育特殊补助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资金增加、农村学前三年免费教育保障机制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万元，预决算差异率8.79%，主要原因是：年中追加</w:t>
      </w:r>
      <w:r>
        <w:rPr>
          <w:rFonts w:hint="eastAsia" w:ascii="仿宋_GB2312" w:eastAsia="仿宋_GB2312"/>
          <w:sz w:val="32"/>
          <w:szCs w:val="32"/>
          <w:lang w:val="zh-CN"/>
        </w:rPr>
        <w:t>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274218D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DC04B0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50BDBC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2023年度一般公共预算财政拨款支出2,535.38万元，占本年支出合计的</w:t>
      </w:r>
      <w:r>
        <w:rPr>
          <w:rFonts w:hint="eastAsia" w:ascii="仿宋_GB2312" w:eastAsia="仿宋_GB2312"/>
          <w:sz w:val="32"/>
          <w:szCs w:val="32"/>
          <w:lang w:val="zh-CN"/>
        </w:rPr>
        <w:t>99.96%</w:t>
      </w:r>
      <w:r>
        <w:rPr>
          <w:rFonts w:hint="eastAsia" w:ascii="仿宋_GB2312" w:eastAsia="仿宋_GB2312"/>
          <w:sz w:val="32"/>
          <w:szCs w:val="32"/>
        </w:rPr>
        <w:t>。与上年相比，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w:t>
      </w:r>
      <w:r>
        <w:rPr>
          <w:rFonts w:hint="eastAsia" w:ascii="仿宋_GB2312" w:eastAsia="仿宋_GB2312"/>
          <w:sz w:val="32"/>
          <w:szCs w:val="32"/>
          <w:lang w:val="zh-CN"/>
        </w:rPr>
        <w:t>本年单位新疆西藏等地区教育特殊补助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资金增加、农村学前三年免费教育保障机制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w:t>
      </w:r>
      <w:r>
        <w:rPr>
          <w:rFonts w:hint="eastAsia" w:ascii="仿宋_GB2312" w:eastAsia="仿宋_GB2312"/>
          <w:sz w:val="32"/>
          <w:szCs w:val="32"/>
          <w:lang w:val="zh-CN"/>
        </w:rPr>
        <w:t>8.79%</w:t>
      </w:r>
      <w:r>
        <w:rPr>
          <w:rFonts w:hint="eastAsia" w:ascii="仿宋_GB2312" w:eastAsia="仿宋_GB2312"/>
          <w:sz w:val="32"/>
          <w:szCs w:val="32"/>
        </w:rPr>
        <w:t>，主要原因是：年中追加</w:t>
      </w:r>
      <w:r>
        <w:rPr>
          <w:rFonts w:hint="eastAsia" w:ascii="仿宋_GB2312" w:eastAsia="仿宋_GB2312"/>
          <w:sz w:val="32"/>
          <w:szCs w:val="32"/>
          <w:lang w:val="zh-CN"/>
        </w:rPr>
        <w:t>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72FA777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DC70AB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2,333.40</w:t>
      </w:r>
      <w:r>
        <w:rPr>
          <w:rFonts w:ascii="仿宋_GB2312" w:eastAsia="仿宋_GB2312"/>
          <w:kern w:val="2"/>
          <w:sz w:val="32"/>
          <w:szCs w:val="32"/>
          <w:lang w:val="zh-CN"/>
        </w:rPr>
        <w:t>万元，占</w:t>
      </w:r>
      <w:r>
        <w:rPr>
          <w:rFonts w:hint="eastAsia" w:ascii="仿宋_GB2312" w:eastAsia="仿宋_GB2312"/>
          <w:kern w:val="2"/>
          <w:sz w:val="32"/>
          <w:szCs w:val="32"/>
          <w:lang w:val="zh-CN"/>
        </w:rPr>
        <w:t>92.03</w:t>
      </w:r>
      <w:r>
        <w:rPr>
          <w:rFonts w:ascii="仿宋_GB2312" w:eastAsia="仿宋_GB2312"/>
          <w:kern w:val="2"/>
          <w:sz w:val="32"/>
          <w:szCs w:val="32"/>
          <w:lang w:val="zh-CN"/>
        </w:rPr>
        <w:t>%；</w:t>
      </w:r>
    </w:p>
    <w:p w14:paraId="27F2142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201.98</w:t>
      </w:r>
      <w:r>
        <w:rPr>
          <w:rFonts w:ascii="仿宋_GB2312" w:eastAsia="仿宋_GB2312"/>
          <w:kern w:val="2"/>
          <w:sz w:val="32"/>
          <w:szCs w:val="32"/>
          <w:lang w:val="zh-CN"/>
        </w:rPr>
        <w:t>万元，占</w:t>
      </w:r>
      <w:r>
        <w:rPr>
          <w:rFonts w:hint="eastAsia" w:ascii="仿宋_GB2312" w:eastAsia="仿宋_GB2312"/>
          <w:kern w:val="2"/>
          <w:sz w:val="32"/>
          <w:szCs w:val="32"/>
          <w:lang w:val="zh-CN"/>
        </w:rPr>
        <w:t>7.97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CFAD1B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D4C14E7">
      <w:pPr>
        <w:ind w:firstLine="640" w:firstLineChars="200"/>
        <w:jc w:val="left"/>
        <w:rPr>
          <w:rFonts w:ascii="仿宋_GB2312" w:eastAsia="仿宋_GB2312"/>
          <w:sz w:val="32"/>
          <w:szCs w:val="32"/>
          <w:lang w:val="zh-CN"/>
        </w:rPr>
      </w:pPr>
      <w:r>
        <w:rPr>
          <w:rFonts w:hint="eastAsia" w:ascii="仿宋_GB2312" w:eastAsia="仿宋_GB2312"/>
          <w:sz w:val="32"/>
          <w:szCs w:val="32"/>
        </w:rPr>
        <w:t>1.社会保障和就业支出（类）抚恤（款）死亡抚恤（项）:支出决算数为83.48万元，比上年决算增加72.17万元，增长638.</w:t>
      </w:r>
      <w:r>
        <w:rPr>
          <w:rFonts w:hint="eastAsia" w:ascii="仿宋_GB2312" w:eastAsia="仿宋_GB2312"/>
          <w:sz w:val="32"/>
          <w:szCs w:val="32"/>
          <w:lang w:val="en-US" w:eastAsia="zh-CN"/>
        </w:rPr>
        <w:t>11</w:t>
      </w:r>
      <w:r>
        <w:rPr>
          <w:rFonts w:hint="eastAsia" w:ascii="仿宋_GB2312" w:eastAsia="仿宋_GB2312"/>
          <w:sz w:val="32"/>
          <w:szCs w:val="32"/>
        </w:rPr>
        <w:t>%，主要原因是：单位本年</w:t>
      </w:r>
      <w:r>
        <w:rPr>
          <w:rFonts w:hint="eastAsia" w:ascii="仿宋_GB2312" w:eastAsia="仿宋_GB2312"/>
          <w:sz w:val="32"/>
          <w:szCs w:val="32"/>
          <w:lang w:val="zh-CN"/>
        </w:rPr>
        <w:t>退休教师去世人数增加，丧葬</w:t>
      </w:r>
      <w:r>
        <w:rPr>
          <w:rFonts w:hint="eastAsia" w:ascii="仿宋_GB2312" w:eastAsia="仿宋_GB2312"/>
          <w:sz w:val="32"/>
          <w:szCs w:val="32"/>
          <w:lang w:val="en-US" w:eastAsia="zh-CN"/>
        </w:rPr>
        <w:t>费、</w:t>
      </w:r>
      <w:r>
        <w:rPr>
          <w:rFonts w:hint="eastAsia" w:ascii="仿宋_GB2312" w:eastAsia="仿宋_GB2312"/>
          <w:sz w:val="32"/>
          <w:szCs w:val="32"/>
          <w:lang w:val="zh-CN"/>
        </w:rPr>
        <w:t>抚恤金增加。</w:t>
      </w:r>
    </w:p>
    <w:p w14:paraId="3ACA96F8">
      <w:pPr>
        <w:ind w:firstLine="640" w:firstLineChars="200"/>
        <w:jc w:val="left"/>
        <w:rPr>
          <w:rFonts w:ascii="仿宋_GB2312" w:eastAsia="仿宋_GB2312"/>
          <w:sz w:val="32"/>
          <w:szCs w:val="32"/>
          <w:lang w:val="zh-CN"/>
        </w:rPr>
      </w:pPr>
      <w:r>
        <w:rPr>
          <w:rFonts w:hint="eastAsia" w:ascii="仿宋_GB2312" w:eastAsia="仿宋_GB2312"/>
          <w:sz w:val="32"/>
          <w:szCs w:val="32"/>
        </w:rPr>
        <w:t>2.教育支出（类）普通教育（款）小学教育（项）:支出决算数为2,063.24万元，比上年决算减少73.54万元，下降3.44%，主要原因是：单位本年</w:t>
      </w:r>
      <w:r>
        <w:rPr>
          <w:rFonts w:hint="eastAsia" w:ascii="仿宋_GB2312" w:eastAsia="仿宋_GB2312"/>
          <w:sz w:val="32"/>
          <w:szCs w:val="32"/>
          <w:lang w:val="zh-CN"/>
        </w:rPr>
        <w:t>昌吉州城乡义务教育班主任津贴</w:t>
      </w:r>
      <w:r>
        <w:rPr>
          <w:rFonts w:hint="eastAsia" w:ascii="仿宋_GB2312" w:eastAsia="仿宋_GB2312"/>
          <w:sz w:val="32"/>
          <w:szCs w:val="32"/>
          <w:lang w:val="en-US" w:eastAsia="zh-CN"/>
        </w:rPr>
        <w:t>补贴项目</w:t>
      </w:r>
      <w:r>
        <w:rPr>
          <w:rFonts w:hint="eastAsia" w:ascii="仿宋_GB2312" w:eastAsia="仿宋_GB2312"/>
          <w:sz w:val="32"/>
          <w:szCs w:val="32"/>
          <w:lang w:val="zh-CN"/>
        </w:rPr>
        <w:t>经费</w:t>
      </w:r>
      <w:r>
        <w:rPr>
          <w:rFonts w:hint="eastAsia" w:ascii="仿宋_GB2312" w:eastAsia="仿宋_GB2312"/>
          <w:sz w:val="32"/>
          <w:szCs w:val="32"/>
        </w:rPr>
        <w:t>减少</w:t>
      </w:r>
      <w:r>
        <w:rPr>
          <w:rFonts w:hint="eastAsia" w:ascii="仿宋_GB2312" w:eastAsia="仿宋_GB2312"/>
          <w:sz w:val="32"/>
          <w:szCs w:val="32"/>
          <w:lang w:val="zh-CN"/>
        </w:rPr>
        <w:t>。</w:t>
      </w:r>
    </w:p>
    <w:p w14:paraId="090E72A7">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3.社会保障和就业支出（类）行政事业单位养老支出（款）事业单位离退休（项）:支出决算数为58.93万元，比上年决算增加36.13万元，增长158.4</w:t>
      </w:r>
      <w:r>
        <w:rPr>
          <w:rFonts w:hint="eastAsia" w:ascii="仿宋_GB2312" w:eastAsia="仿宋_GB2312"/>
          <w:sz w:val="32"/>
          <w:szCs w:val="32"/>
          <w:lang w:val="en-US" w:eastAsia="zh-CN"/>
        </w:rPr>
        <w:t>6</w:t>
      </w:r>
      <w:r>
        <w:rPr>
          <w:rFonts w:hint="eastAsia" w:ascii="仿宋_GB2312" w:eastAsia="仿宋_GB2312"/>
          <w:sz w:val="32"/>
          <w:szCs w:val="32"/>
        </w:rPr>
        <w:t>%，主要原因是：本年退休人员增加，退休人员取暖费、交通补助费用增加</w:t>
      </w:r>
      <w:r>
        <w:rPr>
          <w:rFonts w:hint="eastAsia" w:ascii="仿宋_GB2312" w:eastAsia="仿宋_GB2312"/>
          <w:sz w:val="32"/>
          <w:szCs w:val="32"/>
          <w:lang w:val="zh-CN"/>
        </w:rPr>
        <w:t>。</w:t>
      </w:r>
    </w:p>
    <w:p w14:paraId="0A5119E2">
      <w:pPr>
        <w:ind w:firstLine="640" w:firstLineChars="200"/>
        <w:jc w:val="left"/>
        <w:rPr>
          <w:rFonts w:ascii="仿宋_GB2312" w:eastAsia="仿宋_GB2312"/>
          <w:sz w:val="32"/>
          <w:szCs w:val="32"/>
          <w:lang w:val="zh-CN"/>
        </w:rPr>
      </w:pPr>
      <w:r>
        <w:rPr>
          <w:rFonts w:hint="eastAsia" w:ascii="仿宋_GB2312" w:eastAsia="仿宋_GB2312"/>
          <w:sz w:val="32"/>
          <w:szCs w:val="32"/>
        </w:rPr>
        <w:t>4.教育支出（类）普通教育（款）学前教育（项）:支出决算数为270.16万元，比上年决算增加106.04万元，增长64.61%，主要原因是：</w:t>
      </w:r>
      <w:r>
        <w:rPr>
          <w:rFonts w:hint="eastAsia" w:ascii="仿宋_GB2312" w:eastAsia="仿宋_GB2312"/>
          <w:sz w:val="32"/>
          <w:szCs w:val="32"/>
          <w:lang w:val="zh-CN"/>
        </w:rPr>
        <w:t>本年单位新疆西藏等地区教育特殊补助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资金增加、农村学前三年免费教育保障机制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val="en-US" w:eastAsia="zh-CN"/>
        </w:rPr>
        <w:t>增加</w:t>
      </w:r>
      <w:r>
        <w:rPr>
          <w:rFonts w:hint="eastAsia" w:ascii="仿宋_GB2312" w:eastAsia="仿宋_GB2312"/>
          <w:sz w:val="32"/>
          <w:szCs w:val="32"/>
          <w:lang w:val="zh-CN"/>
        </w:rPr>
        <w:t>。</w:t>
      </w:r>
    </w:p>
    <w:p w14:paraId="645AA2D4">
      <w:pPr>
        <w:ind w:firstLine="640" w:firstLineChars="200"/>
        <w:jc w:val="left"/>
        <w:rPr>
          <w:rFonts w:ascii="仿宋_GB2312" w:eastAsia="仿宋_GB2312"/>
          <w:sz w:val="32"/>
          <w:szCs w:val="32"/>
          <w:lang w:val="zh-CN"/>
        </w:rPr>
      </w:pPr>
      <w:r>
        <w:rPr>
          <w:rFonts w:hint="eastAsia" w:ascii="仿宋_GB2312" w:eastAsia="仿宋_GB2312"/>
          <w:sz w:val="32"/>
          <w:szCs w:val="32"/>
        </w:rPr>
        <w:t>5.社会保障和就业支出（类）行政事业单位养老支出（款）机关事业单位职业年金缴费支出（项）:支出决算数为59.58万元，比上年决算增加46.</w:t>
      </w:r>
      <w:r>
        <w:rPr>
          <w:rFonts w:hint="eastAsia" w:ascii="仿宋_GB2312" w:eastAsia="仿宋_GB2312"/>
          <w:sz w:val="32"/>
          <w:szCs w:val="32"/>
          <w:lang w:val="en-US" w:eastAsia="zh-CN"/>
        </w:rPr>
        <w:t>60</w:t>
      </w:r>
      <w:r>
        <w:rPr>
          <w:rFonts w:hint="eastAsia" w:ascii="仿宋_GB2312" w:eastAsia="仿宋_GB2312"/>
          <w:sz w:val="32"/>
          <w:szCs w:val="32"/>
        </w:rPr>
        <w:t>万元，增长35</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01</w:t>
      </w:r>
      <w:r>
        <w:rPr>
          <w:rFonts w:hint="eastAsia" w:ascii="仿宋_GB2312" w:eastAsia="仿宋_GB2312"/>
          <w:sz w:val="32"/>
          <w:szCs w:val="32"/>
        </w:rPr>
        <w:t>%，主要原因是：单位本年退休人</w:t>
      </w:r>
      <w:r>
        <w:rPr>
          <w:rFonts w:hint="eastAsia" w:ascii="仿宋_GB2312" w:eastAsia="仿宋_GB2312"/>
          <w:sz w:val="32"/>
          <w:szCs w:val="32"/>
          <w:lang w:val="en-US" w:eastAsia="zh-CN"/>
        </w:rPr>
        <w:t>员</w:t>
      </w:r>
      <w:r>
        <w:rPr>
          <w:rFonts w:hint="eastAsia" w:ascii="仿宋_GB2312" w:eastAsia="仿宋_GB2312"/>
          <w:sz w:val="32"/>
          <w:szCs w:val="32"/>
        </w:rPr>
        <w:t>增加，职业年金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042593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0A7EC8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2,351.74万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14:paraId="352A725A">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公用经费18.30万元，包括：取暖费、公务用车运行维护费。</w:t>
      </w:r>
    </w:p>
    <w:p w14:paraId="3871C91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03BCA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“三公”经费支出0.30万元，</w:t>
      </w:r>
      <w:r>
        <w:rPr>
          <w:rFonts w:hint="eastAsia" w:ascii="仿宋_GB2312" w:eastAsia="仿宋_GB2312"/>
          <w:sz w:val="32"/>
          <w:szCs w:val="32"/>
        </w:rPr>
        <w:t>比上年</w:t>
      </w:r>
      <w:r>
        <w:rPr>
          <w:rFonts w:hint="eastAsia" w:ascii="仿宋_GB2312" w:eastAsia="仿宋_GB2312"/>
          <w:sz w:val="32"/>
          <w:szCs w:val="32"/>
          <w:lang w:val="zh-CN"/>
        </w:rPr>
        <w:t>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主要原因是：单位本年无此项经费；公务用车购置及运行维护费支出0.30万元，占100.00%，比上年减少0.08万元，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0DC04F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3B7BD6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1AE993F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公务用车购置及运行维护费0.30万元，其中：公务用车购置费0.00万元，公务用车运行维护费0.30万元。公务用车运行维护费开支内容包括</w:t>
      </w:r>
      <w:r>
        <w:rPr>
          <w:rFonts w:hint="eastAsia" w:ascii="仿宋_GB2312" w:eastAsia="仿宋_GB2312"/>
          <w:sz w:val="32"/>
          <w:szCs w:val="32"/>
        </w:rPr>
        <w:t>公务用车维修维护费、燃油费、保险费、过路费等</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DDECA6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7073FB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w:t>
      </w:r>
      <w:r>
        <w:rPr>
          <w:rFonts w:hint="eastAsia" w:ascii="仿宋_GB2312" w:eastAsia="仿宋_GB2312"/>
          <w:sz w:val="32"/>
          <w:szCs w:val="32"/>
        </w:rPr>
        <w:t>严格按预算执行，预决算无差异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2C24EE3C">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FD42C9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9BF90E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5276F1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4DCEE5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AB1440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D8C472B">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木垒哈萨克自治县第一小学（事业单位）公用经费支出18.30万元，</w:t>
      </w:r>
      <w:r>
        <w:rPr>
          <w:rFonts w:hint="eastAsia" w:ascii="仿宋_GB2312" w:eastAsia="仿宋_GB2312"/>
          <w:sz w:val="32"/>
          <w:szCs w:val="32"/>
          <w:lang w:val="zh-CN"/>
        </w:rPr>
        <w:t>比上年增加13.44万元，增长276.54%，主要原因是：</w:t>
      </w:r>
      <w:r>
        <w:rPr>
          <w:rFonts w:hint="eastAsia" w:ascii="仿宋_GB2312" w:eastAsia="仿宋_GB2312"/>
          <w:sz w:val="32"/>
          <w:szCs w:val="32"/>
        </w:rPr>
        <w:t>单位本年取暖费较上年增加。</w:t>
      </w:r>
    </w:p>
    <w:p w14:paraId="7993090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CEF5B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2023年度政府采购支出总额112.31万元，其中：政府采购货物支出53.12万元、政府采购工程支出52.28万元、政府采购服务支出6.90万元。</w:t>
      </w:r>
    </w:p>
    <w:p w14:paraId="56B4432B">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授予中小企业合同金额112.31万元，占政府采购支出总额的100.00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，其中：授予小微企业合同金额112.31万元，占政府采购支出总额的100.00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5C81A77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502F1DF">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3,635.32</w:t>
      </w:r>
      <w:r>
        <w:rPr>
          <w:rFonts w:hint="eastAsia" w:ascii="仿宋_GB2312" w:eastAsia="仿宋_GB2312"/>
          <w:sz w:val="32"/>
          <w:szCs w:val="32"/>
        </w:rPr>
        <w:t>万元，房</w:t>
      </w:r>
      <w:r>
        <w:rPr>
          <w:rFonts w:hint="eastAsia" w:ascii="仿宋_GB2312" w:eastAsia="仿宋_GB2312"/>
          <w:sz w:val="32"/>
          <w:szCs w:val="32"/>
          <w:lang w:val="zh-CN"/>
        </w:rPr>
        <w:t>屋14</w:t>
      </w:r>
      <w:r>
        <w:rPr>
          <w:rFonts w:hint="eastAsia" w:ascii="仿宋_GB2312" w:eastAsia="仿宋_GB2312"/>
          <w:sz w:val="32"/>
          <w:szCs w:val="32"/>
        </w:rPr>
        <w:t>,</w:t>
      </w:r>
      <w:r>
        <w:rPr>
          <w:rFonts w:hint="eastAsia" w:ascii="仿宋_GB2312" w:eastAsia="仿宋_GB2312"/>
          <w:sz w:val="32"/>
          <w:szCs w:val="32"/>
          <w:lang w:val="zh-CN"/>
        </w:rPr>
        <w:t>497.03平方米，价值2,745.64万元。车辆1辆，价值8.66万元，其中：副部（省）级及以上领导用车0辆、主要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0D05F03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7DC957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预算总额2,536.75万元，实际执行总额</w:t>
      </w:r>
      <w:r>
        <w:rPr>
          <w:rFonts w:ascii="仿宋_GB2312" w:eastAsia="仿宋_GB2312"/>
          <w:sz w:val="32"/>
          <w:szCs w:val="32"/>
        </w:rPr>
        <w:t>2,536.41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89" w:type="pct"/>
        <w:jc w:val="center"/>
        <w:tblLayout w:type="fixed"/>
        <w:tblCellMar>
          <w:top w:w="0" w:type="dxa"/>
          <w:left w:w="108" w:type="dxa"/>
          <w:bottom w:w="0" w:type="dxa"/>
          <w:right w:w="108" w:type="dxa"/>
        </w:tblCellMar>
      </w:tblPr>
      <w:tblGrid>
        <w:gridCol w:w="1812"/>
        <w:gridCol w:w="1197"/>
        <w:gridCol w:w="1119"/>
        <w:gridCol w:w="1022"/>
        <w:gridCol w:w="1017"/>
        <w:gridCol w:w="790"/>
        <w:gridCol w:w="857"/>
        <w:gridCol w:w="860"/>
      </w:tblGrid>
      <w:tr w14:paraId="09A586FB">
        <w:tblPrEx>
          <w:tblCellMar>
            <w:top w:w="0" w:type="dxa"/>
            <w:left w:w="108" w:type="dxa"/>
            <w:bottom w:w="0" w:type="dxa"/>
            <w:right w:w="108" w:type="dxa"/>
          </w:tblCellMar>
        </w:tblPrEx>
        <w:trPr>
          <w:trHeight w:val="522" w:hRule="atLeast"/>
          <w:jc w:val="center"/>
        </w:trPr>
        <w:tc>
          <w:tcPr>
            <w:tcW w:w="867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C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37CF2CEF">
        <w:tblPrEx>
          <w:tblCellMar>
            <w:top w:w="0" w:type="dxa"/>
            <w:left w:w="108" w:type="dxa"/>
            <w:bottom w:w="0" w:type="dxa"/>
            <w:right w:w="108" w:type="dxa"/>
          </w:tblCellMar>
        </w:tblPrEx>
        <w:trPr>
          <w:trHeight w:val="360" w:hRule="atLeast"/>
          <w:jc w:val="center"/>
        </w:trPr>
        <w:tc>
          <w:tcPr>
            <w:tcW w:w="867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10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6D853AA5">
        <w:tblPrEx>
          <w:tblCellMar>
            <w:top w:w="0" w:type="dxa"/>
            <w:left w:w="108" w:type="dxa"/>
            <w:bottom w:w="0" w:type="dxa"/>
            <w:right w:w="108" w:type="dxa"/>
          </w:tblCellMar>
        </w:tblPrEx>
        <w:trPr>
          <w:trHeight w:val="66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A5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86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3C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w:t>
            </w:r>
          </w:p>
        </w:tc>
      </w:tr>
      <w:tr w14:paraId="26E4A92F">
        <w:tblPrEx>
          <w:tblCellMar>
            <w:top w:w="0" w:type="dxa"/>
            <w:left w:w="108" w:type="dxa"/>
            <w:bottom w:w="0" w:type="dxa"/>
            <w:right w:w="108" w:type="dxa"/>
          </w:tblCellMar>
        </w:tblPrEx>
        <w:trPr>
          <w:trHeight w:val="57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7B8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1A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7B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15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70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02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22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77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9705933">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B34EF">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8B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86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93.83</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C4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3D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0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34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51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27AD868">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ACDD2">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D8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4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9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4F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5BD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D1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6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432F58A">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FE8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2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3E35">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22" w:type="dxa"/>
            <w:tcBorders>
              <w:top w:val="single" w:color="000000" w:sz="4" w:space="0"/>
              <w:left w:val="single" w:color="000000" w:sz="4" w:space="0"/>
              <w:bottom w:val="single" w:color="auto" w:sz="4" w:space="0"/>
              <w:right w:val="single" w:color="000000" w:sz="4" w:space="0"/>
            </w:tcBorders>
            <w:shd w:val="clear" w:color="auto" w:fill="auto"/>
            <w:vAlign w:val="center"/>
          </w:tcPr>
          <w:p w14:paraId="4BB0219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000000" w:sz="4" w:space="0"/>
              <w:left w:val="single" w:color="000000" w:sz="4" w:space="0"/>
              <w:bottom w:val="single" w:color="auto" w:sz="4" w:space="0"/>
              <w:right w:val="single" w:color="000000" w:sz="4" w:space="0"/>
            </w:tcBorders>
            <w:shd w:val="clear" w:color="auto" w:fill="auto"/>
            <w:vAlign w:val="center"/>
          </w:tcPr>
          <w:p w14:paraId="3F056962">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B2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F0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C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B8ACE5F">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291A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F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19" w:type="dxa"/>
            <w:tcBorders>
              <w:top w:val="single" w:color="000000" w:sz="4" w:space="0"/>
              <w:left w:val="single" w:color="000000" w:sz="4" w:space="0"/>
              <w:bottom w:val="single" w:color="000000" w:sz="4" w:space="0"/>
              <w:right w:val="single" w:color="auto" w:sz="4" w:space="0"/>
            </w:tcBorders>
            <w:shd w:val="clear" w:color="auto" w:fill="auto"/>
            <w:vAlign w:val="center"/>
          </w:tcPr>
          <w:p w14:paraId="0FA0E8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2,236.75</w:t>
            </w:r>
          </w:p>
        </w:tc>
        <w:tc>
          <w:tcPr>
            <w:tcW w:w="10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0BC8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2,421.06</w:t>
            </w:r>
          </w:p>
        </w:tc>
        <w:tc>
          <w:tcPr>
            <w:tcW w:w="10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6C7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2,420.72</w:t>
            </w:r>
          </w:p>
        </w:tc>
        <w:tc>
          <w:tcPr>
            <w:tcW w:w="790" w:type="dxa"/>
            <w:tcBorders>
              <w:top w:val="single" w:color="000000" w:sz="4" w:space="0"/>
              <w:left w:val="single" w:color="auto" w:sz="4" w:space="0"/>
              <w:bottom w:val="single" w:color="000000" w:sz="4" w:space="0"/>
              <w:right w:val="single" w:color="000000" w:sz="4" w:space="0"/>
            </w:tcBorders>
            <w:shd w:val="clear" w:color="auto" w:fill="auto"/>
            <w:vAlign w:val="center"/>
          </w:tcPr>
          <w:p w14:paraId="65265A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1A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53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CCAF4F1">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BC5D7">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8C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F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auto" w:sz="4" w:space="0"/>
              <w:left w:val="single" w:color="000000" w:sz="4" w:space="0"/>
              <w:bottom w:val="single" w:color="000000" w:sz="4" w:space="0"/>
              <w:right w:val="single" w:color="000000" w:sz="4" w:space="0"/>
            </w:tcBorders>
            <w:shd w:val="clear" w:color="auto" w:fill="auto"/>
            <w:vAlign w:val="center"/>
          </w:tcPr>
          <w:p w14:paraId="21542123">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auto" w:sz="4" w:space="0"/>
              <w:left w:val="single" w:color="000000" w:sz="4" w:space="0"/>
              <w:bottom w:val="single" w:color="000000" w:sz="4" w:space="0"/>
              <w:right w:val="single" w:color="000000" w:sz="4" w:space="0"/>
            </w:tcBorders>
            <w:shd w:val="clear" w:color="auto" w:fill="auto"/>
            <w:vAlign w:val="center"/>
          </w:tcPr>
          <w:p w14:paraId="33880E83">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86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E6D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24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2B2BCFD">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3A043">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F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45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2,330.58</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C1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2,536.75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7D6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2,536.41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11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D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5F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A1D7EF5">
        <w:tblPrEx>
          <w:tblCellMar>
            <w:top w:w="0" w:type="dxa"/>
            <w:left w:w="108" w:type="dxa"/>
            <w:bottom w:w="0" w:type="dxa"/>
            <w:right w:w="108" w:type="dxa"/>
          </w:tblCellMar>
        </w:tblPrEx>
        <w:trPr>
          <w:trHeight w:val="705"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8FF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6E6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2D702AB0">
        <w:tblPrEx>
          <w:tblCellMar>
            <w:top w:w="0" w:type="dxa"/>
            <w:left w:w="108" w:type="dxa"/>
            <w:bottom w:w="0" w:type="dxa"/>
            <w:right w:w="108" w:type="dxa"/>
          </w:tblCellMar>
        </w:tblPrEx>
        <w:trPr>
          <w:trHeight w:val="200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C617D">
            <w:pPr>
              <w:jc w:val="center"/>
              <w:rPr>
                <w:rFonts w:hint="eastAsia" w:ascii="宋体" w:hAnsi="宋体" w:cs="宋体"/>
                <w:color w:val="000000"/>
                <w:sz w:val="20"/>
                <w:szCs w:val="20"/>
              </w:rPr>
            </w:pP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49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E8F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14:paraId="25F0B5D4">
        <w:tblPrEx>
          <w:tblCellMar>
            <w:top w:w="0" w:type="dxa"/>
            <w:left w:w="108" w:type="dxa"/>
            <w:bottom w:w="0" w:type="dxa"/>
            <w:right w:w="108" w:type="dxa"/>
          </w:tblCellMar>
        </w:tblPrEx>
        <w:trPr>
          <w:trHeight w:val="58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7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81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E9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2B7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5C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27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BC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3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2CBD91D">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C59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030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67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2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&gt;=106人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5F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w:t>
            </w:r>
            <w:r>
              <w:rPr>
                <w:rFonts w:hint="eastAsia" w:ascii="宋体" w:hAnsi="宋体" w:cs="宋体"/>
                <w:color w:val="000000"/>
                <w:kern w:val="0"/>
                <w:sz w:val="20"/>
                <w:szCs w:val="20"/>
                <w:lang w:eastAsia="zh-CN" w:bidi="ar"/>
              </w:rPr>
              <w:t>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9E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48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5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712EEC7E">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4E4FC">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5AE9">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5B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9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09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w:t>
            </w:r>
            <w:r>
              <w:rPr>
                <w:rFonts w:hint="eastAsia" w:ascii="宋体" w:hAnsi="宋体" w:cs="宋体"/>
                <w:color w:val="000000"/>
                <w:kern w:val="0"/>
                <w:sz w:val="20"/>
                <w:szCs w:val="20"/>
                <w:lang w:eastAsia="zh-CN" w:bidi="ar"/>
              </w:rPr>
              <w:t>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40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85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A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14:paraId="51F0F3FD">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389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9D50F">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68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79B8">
            <w:pPr>
              <w:widowControl/>
              <w:jc w:val="center"/>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&gt;</w:t>
            </w:r>
            <w:bookmarkEnd w:id="48"/>
            <w:r>
              <w:rPr>
                <w:rFonts w:hint="eastAsia" w:ascii="宋体" w:hAnsi="宋体" w:cs="宋体"/>
                <w:color w:val="000000"/>
                <w:kern w:val="0"/>
                <w:sz w:val="20"/>
                <w:szCs w:val="20"/>
                <w:lang w:bidi="ar"/>
              </w:rPr>
              <w:t>=112人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83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EE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02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87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3070D016">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D14CB">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36818">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2A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66C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E10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E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1A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D2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0BA5D887">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B9C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46A48">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1B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各类教师培训及学习次数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0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BC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55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25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C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94591ED">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06B16">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9261A">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7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开展学校常规检查次数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20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13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CB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9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62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r>
      <w:tr w14:paraId="12BE720A">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C32DF">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88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CB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适龄儿童义务教育入学率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C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7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3C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BD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95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53DB3CE">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96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C2FC1">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C7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38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3E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C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BD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D6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bl>
    <w:p w14:paraId="632E01DE">
      <w:pPr>
        <w:ind w:firstLine="640" w:firstLineChars="200"/>
        <w:jc w:val="left"/>
        <w:rPr>
          <w:rFonts w:hint="eastAsia" w:ascii="黑体" w:hAnsi="黑体" w:eastAsia="黑体" w:cs="宋体"/>
          <w:bCs/>
          <w:kern w:val="0"/>
          <w:sz w:val="32"/>
          <w:szCs w:val="32"/>
        </w:rPr>
      </w:pPr>
    </w:p>
    <w:p w14:paraId="4A17596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CD13F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282CA62">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E9AF68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9F08C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C4E0D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9657A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5257F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A9B96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DF3ED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1DD55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20E8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08203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BDE44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EC080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2FC0AC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3508F2">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FA4F14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5C9E917">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E001A8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507958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F000AA6">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FA55B6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5B00A69">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D8C140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1E8CE4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B3F023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B44D232">
      <w:pPr>
        <w:ind w:firstLine="640" w:firstLineChars="200"/>
        <w:rPr>
          <w:rFonts w:ascii="仿宋_GB2312" w:eastAsia="仿宋_GB2312"/>
          <w:sz w:val="32"/>
          <w:szCs w:val="32"/>
        </w:rPr>
      </w:pPr>
    </w:p>
    <w:p w14:paraId="5A409650">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8A1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268E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F6268E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A45A0"/>
    <w:rsid w:val="00167E4E"/>
    <w:rsid w:val="00213C59"/>
    <w:rsid w:val="002179FA"/>
    <w:rsid w:val="003210CE"/>
    <w:rsid w:val="00351C1A"/>
    <w:rsid w:val="0056558C"/>
    <w:rsid w:val="00643E40"/>
    <w:rsid w:val="007A45A0"/>
    <w:rsid w:val="008968E7"/>
    <w:rsid w:val="00950ABC"/>
    <w:rsid w:val="00B70D59"/>
    <w:rsid w:val="00DB4A27"/>
    <w:rsid w:val="00F52A8D"/>
    <w:rsid w:val="00F85164"/>
    <w:rsid w:val="00FC1788"/>
    <w:rsid w:val="00FF22C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F54EA9"/>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2D6A18"/>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568C3"/>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3E613A"/>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4C7B8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5713</Words>
  <Characters>6520</Characters>
  <Lines>54</Lines>
  <Paragraphs>15</Paragraphs>
  <TotalTime>8</TotalTime>
  <ScaleCrop>false</ScaleCrop>
  <LinksUpToDate>false</LinksUpToDate>
  <CharactersWithSpaces>6530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2024-12-02T09:35:59Z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